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Theme="minorEastAsia" w:hAnsiTheme="minorEastAsia" w:eastAsiaTheme="minorEastAsia"/>
        </w:rPr>
      </w:pPr>
      <w:bookmarkStart w:id="1" w:name="_GoBack"/>
      <w:bookmarkStart w:id="0" w:name="_Toc66883021"/>
      <w:r>
        <w:rPr>
          <w:rFonts w:hint="eastAsia" w:asciiTheme="minorEastAsia" w:hAnsiTheme="minorEastAsia" w:eastAsiaTheme="minorEastAsia"/>
        </w:rPr>
        <w:t>材料</w:t>
      </w:r>
      <w:r>
        <w:rPr>
          <w:rFonts w:asciiTheme="minorEastAsia" w:hAnsiTheme="minorEastAsia" w:eastAsiaTheme="minorEastAsia"/>
        </w:rPr>
        <w:t>3</w:t>
      </w:r>
      <w:r>
        <w:rPr>
          <w:rFonts w:hint="eastAsia" w:asciiTheme="minorEastAsia" w:hAnsiTheme="minorEastAsia" w:eastAsiaTheme="minorEastAsia"/>
        </w:rPr>
        <w:t>9：材料</w:t>
      </w:r>
      <w:r>
        <w:rPr>
          <w:rFonts w:asciiTheme="minorEastAsia" w:hAnsiTheme="minorEastAsia" w:eastAsiaTheme="minorEastAsia"/>
        </w:rPr>
        <w:t>归档</w:t>
      </w:r>
      <w:bookmarkEnd w:id="0"/>
    </w:p>
    <w:bookmarkEnd w:id="1"/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预备党员转正后，党支部应当及时将其入党材料存入本人人事档案。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</w:p>
    <w:tbl>
      <w:tblPr>
        <w:tblStyle w:val="3"/>
        <w:tblW w:w="96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6160"/>
        <w:gridCol w:w="24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单位：                                姓名：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身份：本科（    ）                 专科（    ）                 研究生（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类别：正式党员（   ）   预备党员（   ）   发展对象（   ）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入党积极分子（   ）   入党申请人（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材料目录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材料是否完备（材料完备的打“√”，材料缺失的需注明）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入党申请书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入党志愿书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转正申请书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入党申请人登记表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共青团组织“推优表”/党员群众推优表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入党培养考察记录册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预备党员教育考察记录册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党校学习小结（入党积极分子培训、发展对象培训、预备党员培训）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思想汇报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政治审查材料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群众意见原始记录（预审和转正环节）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支部大会原始记录（预审、入党审批、半年评议和转正环节）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6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票决材料（入党审批和转正环节）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3E1C1B57"/>
    <w:rsid w:val="3E1C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2022-10-26T03:20:00Z</dcterms:created>
  <dc:creator>党委组织部</dc:creator>
  <cp:lastModifiedBy>党委组织部</cp:lastModifiedBy>
  <dcterms:modified xsi:type="dcterms:W3CDTF">2022-10-26T03:20:39Z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52F4A1D4299243C29F6DB09AE00C080D</vt:lpwstr>
  </property>
</Properties>
</file>